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</w:t>
      </w:r>
      <w:r w:rsidR="00C54CB2">
        <w:rPr>
          <w:rFonts w:ascii="Century Gothic" w:hAnsi="Century Gothic"/>
          <w:b/>
        </w:rPr>
        <w:t>2.1.2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81"/>
        <w:gridCol w:w="7582"/>
      </w:tblGrid>
      <w:tr w:rsidR="00676E29" w:rsidRPr="002D4DC6" w:rsidTr="002C728B">
        <w:trPr>
          <w:trHeight w:val="2085"/>
        </w:trPr>
        <w:tc>
          <w:tcPr>
            <w:tcW w:w="7581" w:type="dxa"/>
          </w:tcPr>
          <w:p w:rsidR="00676E29" w:rsidRPr="002D4DC6" w:rsidRDefault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Using a diagram, explain </w:t>
            </w:r>
            <w:r w:rsidR="00C54CB2">
              <w:rPr>
                <w:rFonts w:ascii="Century Gothic" w:hAnsi="Century Gothic"/>
                <w:sz w:val="20"/>
                <w:szCs w:val="20"/>
              </w:rPr>
              <w:t>how a Gini coefficient is calculated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76E29" w:rsidRDefault="00C54CB2" w:rsidP="008A341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difference between Income inequality and wealth inequality</w:t>
            </w:r>
          </w:p>
          <w:p w:rsidR="00676E29" w:rsidRPr="002D4DC6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54CB2" w:rsidRPr="002D4DC6" w:rsidTr="002C728B">
        <w:trPr>
          <w:trHeight w:val="2085"/>
        </w:trPr>
        <w:tc>
          <w:tcPr>
            <w:tcW w:w="7581" w:type="dxa"/>
          </w:tcPr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reasons for Inequality</w:t>
            </w:r>
          </w:p>
          <w:p w:rsidR="00B33913" w:rsidRDefault="00B3391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54CB2" w:rsidRDefault="00C54CB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C54CB2" w:rsidRDefault="00C54CB2" w:rsidP="008A341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economic policies designed to reduce inequality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C7A79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B33913"/>
    <w:rsid w:val="00C54CB2"/>
    <w:rsid w:val="00E31578"/>
    <w:rsid w:val="00F03F60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DAA33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B71BCBC0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2019-12-16T08:45:00Z</dcterms:created>
  <dcterms:modified xsi:type="dcterms:W3CDTF">2019-12-16T08:46:00Z</dcterms:modified>
</cp:coreProperties>
</file>