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4.1.</w:t>
      </w:r>
      <w:r w:rsidR="0000438C">
        <w:rPr>
          <w:rFonts w:ascii="Century Gothic" w:hAnsi="Century Gothic"/>
          <w:b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4184"/>
        <w:gridCol w:w="7582"/>
      </w:tblGrid>
      <w:tr w:rsidR="00676E29" w:rsidRPr="002D4DC6" w:rsidTr="002C728B">
        <w:trPr>
          <w:trHeight w:val="2085"/>
        </w:trPr>
        <w:tc>
          <w:tcPr>
            <w:tcW w:w="7581" w:type="dxa"/>
            <w:gridSpan w:val="2"/>
          </w:tcPr>
          <w:p w:rsidR="0000438C" w:rsidRDefault="0000438C" w:rsidP="0000438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how a government might attempt to manipulate the exchange rate to achieve a competitive advantage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76E29" w:rsidRPr="002D4DC6" w:rsidRDefault="0000438C" w:rsidP="0000438C">
            <w:pPr>
              <w:rPr>
                <w:rFonts w:ascii="Century Gothic" w:hAnsi="Century Gothic"/>
                <w:sz w:val="20"/>
                <w:szCs w:val="20"/>
              </w:rPr>
            </w:pPr>
            <w:r w:rsidRPr="0000438C">
              <w:rPr>
                <w:rFonts w:ascii="Century Gothic" w:hAnsi="Century Gothic"/>
                <w:sz w:val="20"/>
                <w:szCs w:val="20"/>
              </w:rPr>
              <w:t>Explain how the J-Curve and Marshall Lerner criterion impact upon competitive devaluation</w:t>
            </w:r>
          </w:p>
        </w:tc>
      </w:tr>
      <w:tr w:rsidR="00676E29" w:rsidRPr="002D4DC6" w:rsidTr="006112D7">
        <w:trPr>
          <w:trHeight w:val="2020"/>
        </w:trPr>
        <w:tc>
          <w:tcPr>
            <w:tcW w:w="3397" w:type="dxa"/>
          </w:tcPr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00438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two key measures of international competitiveness (relative unit labour costs and relative export prices)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66" w:type="dxa"/>
            <w:gridSpan w:val="2"/>
          </w:tcPr>
          <w:p w:rsidR="00676E29" w:rsidRDefault="00676E29" w:rsidP="00F663C4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 w:rsidP="00F663C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76E29" w:rsidRPr="002D4DC6" w:rsidTr="006112D7">
        <w:trPr>
          <w:trHeight w:val="2105"/>
        </w:trPr>
        <w:tc>
          <w:tcPr>
            <w:tcW w:w="3397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B0D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Explain the </w:t>
            </w:r>
            <w:r w:rsidR="0000438C">
              <w:rPr>
                <w:rFonts w:ascii="Century Gothic" w:hAnsi="Century Gothic"/>
                <w:sz w:val="20"/>
                <w:szCs w:val="20"/>
              </w:rPr>
              <w:t>other factors affecting international competitiveness</w:t>
            </w: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66" w:type="dxa"/>
            <w:gridSpan w:val="2"/>
          </w:tcPr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112D7" w:rsidRDefault="006112D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112D7" w:rsidRPr="002D4DC6" w:rsidRDefault="006112D7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676E29" w:rsidRPr="002D4DC6" w:rsidTr="00A61B62">
        <w:trPr>
          <w:trHeight w:val="375"/>
        </w:trPr>
        <w:tc>
          <w:tcPr>
            <w:tcW w:w="3397" w:type="dxa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00438C" w:rsidP="006B0D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advantages and disadvantages of being more competitive</w:t>
            </w:r>
          </w:p>
          <w:p w:rsidR="0000438C" w:rsidRDefault="0000438C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0438C" w:rsidRDefault="0000438C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0438C" w:rsidRDefault="0000438C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0438C" w:rsidRDefault="0000438C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0438C" w:rsidRDefault="0000438C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00438C" w:rsidRDefault="0000438C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B0D69" w:rsidRPr="002D4DC6" w:rsidRDefault="006B0D69" w:rsidP="006B0D6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766" w:type="dxa"/>
            <w:gridSpan w:val="2"/>
          </w:tcPr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0438C"/>
    <w:rsid w:val="00081BDA"/>
    <w:rsid w:val="002D4DC6"/>
    <w:rsid w:val="00457525"/>
    <w:rsid w:val="004E52BE"/>
    <w:rsid w:val="006112D7"/>
    <w:rsid w:val="00641451"/>
    <w:rsid w:val="00676E29"/>
    <w:rsid w:val="006B0D69"/>
    <w:rsid w:val="008A341E"/>
    <w:rsid w:val="008C0FFA"/>
    <w:rsid w:val="00917619"/>
    <w:rsid w:val="00A61B62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EAF80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2019-08-29T13:04:00Z</dcterms:created>
  <dcterms:modified xsi:type="dcterms:W3CDTF">2019-12-11T14:15:00Z</dcterms:modified>
</cp:coreProperties>
</file>