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936" w:type="dxa"/>
        <w:tblCellMar>
          <w:left w:w="0" w:type="dxa"/>
          <w:right w:w="0" w:type="dxa"/>
        </w:tblCellMar>
        <w:tblLook w:val="0420" w:firstRow="1" w:lastRow="0" w:firstColumn="0" w:lastColumn="0" w:noHBand="0" w:noVBand="1"/>
      </w:tblPr>
      <w:tblGrid>
        <w:gridCol w:w="1833"/>
        <w:gridCol w:w="5103"/>
      </w:tblGrid>
      <w:tr w:rsidR="001711D2" w:rsidRPr="001711D2" w:rsidTr="001711D2">
        <w:trPr>
          <w:trHeight w:val="384"/>
        </w:trPr>
        <w:tc>
          <w:tcPr>
            <w:tcW w:w="183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1711D2" w:rsidRPr="001711D2" w:rsidRDefault="001711D2" w:rsidP="001711D2">
            <w:pPr>
              <w:spacing w:after="0" w:line="240" w:lineRule="auto"/>
              <w:rPr>
                <w:rFonts w:ascii="Arial" w:eastAsia="Times New Roman" w:hAnsi="Arial" w:cs="Arial"/>
                <w:sz w:val="24"/>
                <w:szCs w:val="24"/>
                <w:lang w:eastAsia="en-GB"/>
              </w:rPr>
            </w:pPr>
            <w:bookmarkStart w:id="0" w:name="_GoBack"/>
            <w:bookmarkEnd w:id="0"/>
            <w:r w:rsidRPr="001711D2">
              <w:rPr>
                <w:rFonts w:ascii="Calibri" w:eastAsia="Times New Roman" w:hAnsi="Calibri" w:cs="Calibri"/>
                <w:b/>
                <w:bCs/>
                <w:color w:val="FFFFFF" w:themeColor="light1"/>
                <w:kern w:val="24"/>
                <w:sz w:val="24"/>
                <w:szCs w:val="24"/>
                <w:lang w:eastAsia="en-GB"/>
              </w:rPr>
              <w:t xml:space="preserve">Subject Content </w:t>
            </w:r>
          </w:p>
        </w:tc>
        <w:tc>
          <w:tcPr>
            <w:tcW w:w="510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1711D2" w:rsidRPr="001711D2" w:rsidRDefault="001711D2" w:rsidP="001711D2">
            <w:pPr>
              <w:spacing w:after="0" w:line="240" w:lineRule="auto"/>
              <w:rPr>
                <w:rFonts w:ascii="Arial" w:eastAsia="Times New Roman" w:hAnsi="Arial" w:cs="Arial"/>
                <w:sz w:val="24"/>
                <w:szCs w:val="24"/>
                <w:lang w:eastAsia="en-GB"/>
              </w:rPr>
            </w:pPr>
            <w:r w:rsidRPr="001711D2">
              <w:rPr>
                <w:rFonts w:ascii="Calibri" w:eastAsia="Times New Roman" w:hAnsi="Calibri" w:cs="Calibri"/>
                <w:b/>
                <w:bCs/>
                <w:color w:val="FFFFFF" w:themeColor="light1"/>
                <w:kern w:val="24"/>
                <w:sz w:val="24"/>
                <w:szCs w:val="24"/>
                <w:lang w:eastAsia="en-GB"/>
              </w:rPr>
              <w:t xml:space="preserve">What students need to learn? </w:t>
            </w:r>
          </w:p>
        </w:tc>
      </w:tr>
      <w:tr w:rsidR="001711D2" w:rsidRPr="001711D2" w:rsidTr="001711D2">
        <w:trPr>
          <w:trHeight w:val="1018"/>
        </w:trPr>
        <w:tc>
          <w:tcPr>
            <w:tcW w:w="183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1711D2" w:rsidRPr="001711D2" w:rsidRDefault="001711D2" w:rsidP="001711D2">
            <w:pPr>
              <w:spacing w:after="0" w:line="240" w:lineRule="auto"/>
              <w:rPr>
                <w:rFonts w:ascii="Arial" w:eastAsia="Times New Roman" w:hAnsi="Arial" w:cs="Arial"/>
                <w:sz w:val="24"/>
                <w:szCs w:val="24"/>
                <w:lang w:eastAsia="en-GB"/>
              </w:rPr>
            </w:pPr>
            <w:r w:rsidRPr="001711D2">
              <w:rPr>
                <w:rFonts w:eastAsiaTheme="minorEastAsia" w:hAnsi="Calibri"/>
                <w:color w:val="000000" w:themeColor="dark1"/>
                <w:kern w:val="24"/>
                <w:position w:val="1"/>
                <w:sz w:val="24"/>
                <w:szCs w:val="24"/>
                <w:lang w:eastAsia="en-GB"/>
              </w:rPr>
              <w:t>1.5.5</w:t>
            </w:r>
          </w:p>
          <w:p w:rsidR="001711D2" w:rsidRPr="001711D2" w:rsidRDefault="001711D2" w:rsidP="001711D2">
            <w:pPr>
              <w:spacing w:after="0" w:line="240" w:lineRule="auto"/>
              <w:rPr>
                <w:rFonts w:ascii="Arial" w:eastAsia="Times New Roman" w:hAnsi="Arial" w:cs="Arial"/>
                <w:sz w:val="24"/>
                <w:szCs w:val="24"/>
                <w:lang w:eastAsia="en-GB"/>
              </w:rPr>
            </w:pPr>
            <w:r w:rsidRPr="001711D2">
              <w:rPr>
                <w:rFonts w:eastAsiaTheme="minorEastAsia" w:hAnsi="Calibri"/>
                <w:color w:val="000000" w:themeColor="dark1"/>
                <w:kern w:val="24"/>
                <w:position w:val="1"/>
                <w:sz w:val="24"/>
                <w:szCs w:val="24"/>
                <w:lang w:eastAsia="en-GB"/>
              </w:rPr>
              <w:t>External influences</w:t>
            </w:r>
          </w:p>
        </w:tc>
        <w:tc>
          <w:tcPr>
            <w:tcW w:w="510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1711D2" w:rsidRPr="001711D2" w:rsidRDefault="001711D2" w:rsidP="001711D2">
            <w:pPr>
              <w:spacing w:after="0" w:line="240" w:lineRule="auto"/>
              <w:rPr>
                <w:rFonts w:ascii="Arial" w:eastAsia="Times New Roman" w:hAnsi="Arial" w:cs="Arial"/>
                <w:sz w:val="24"/>
                <w:szCs w:val="24"/>
                <w:lang w:eastAsia="en-GB"/>
              </w:rPr>
            </w:pPr>
            <w:r w:rsidRPr="001711D2">
              <w:rPr>
                <w:rFonts w:eastAsiaTheme="minorEastAsia" w:hAnsi="Calibri"/>
                <w:color w:val="000000" w:themeColor="dark1"/>
                <w:kern w:val="24"/>
                <w:position w:val="1"/>
                <w:sz w:val="24"/>
                <w:szCs w:val="24"/>
                <w:lang w:eastAsia="en-GB"/>
              </w:rPr>
              <w:t>The importance of external influences on business:</w:t>
            </w:r>
          </w:p>
          <w:p w:rsidR="001711D2" w:rsidRPr="001711D2" w:rsidRDefault="001711D2" w:rsidP="001711D2">
            <w:pPr>
              <w:spacing w:after="0" w:line="240" w:lineRule="auto"/>
              <w:rPr>
                <w:rFonts w:ascii="Arial" w:eastAsia="Times New Roman" w:hAnsi="Arial" w:cs="Arial"/>
                <w:sz w:val="24"/>
                <w:szCs w:val="24"/>
                <w:lang w:eastAsia="en-GB"/>
              </w:rPr>
            </w:pPr>
            <w:r w:rsidRPr="001711D2">
              <w:rPr>
                <w:rFonts w:eastAsiaTheme="minorEastAsia" w:hAnsi="Arial"/>
                <w:color w:val="000000" w:themeColor="dark1"/>
                <w:kern w:val="24"/>
                <w:position w:val="1"/>
                <w:sz w:val="24"/>
                <w:szCs w:val="24"/>
                <w:lang w:eastAsia="en-GB"/>
              </w:rPr>
              <w:t>●</w:t>
            </w:r>
            <w:r w:rsidRPr="001711D2">
              <w:rPr>
                <w:rFonts w:eastAsiaTheme="minorEastAsia" w:hAnsi="Arial"/>
                <w:color w:val="000000" w:themeColor="dark1"/>
                <w:kern w:val="24"/>
                <w:position w:val="1"/>
                <w:sz w:val="24"/>
                <w:szCs w:val="24"/>
                <w:lang w:eastAsia="en-GB"/>
              </w:rPr>
              <w:t xml:space="preserve"> possible responses by the business to changes in:</w:t>
            </w:r>
            <w:r>
              <w:rPr>
                <w:rFonts w:eastAsiaTheme="minorEastAsia" w:hAnsi="Arial"/>
                <w:color w:val="000000" w:themeColor="dark1"/>
                <w:kern w:val="24"/>
                <w:position w:val="1"/>
                <w:sz w:val="24"/>
                <w:szCs w:val="24"/>
                <w:lang w:eastAsia="en-GB"/>
              </w:rPr>
              <w:t xml:space="preserve"> </w:t>
            </w:r>
            <w:r w:rsidRPr="001711D2">
              <w:rPr>
                <w:rFonts w:eastAsiaTheme="minorEastAsia" w:hAnsi="Calibri"/>
                <w:color w:val="000000" w:themeColor="dark1"/>
                <w:kern w:val="24"/>
                <w:position w:val="1"/>
                <w:sz w:val="24"/>
                <w:szCs w:val="24"/>
                <w:lang w:eastAsia="en-GB"/>
              </w:rPr>
              <w:t>technology, legislation, the economic climate.</w:t>
            </w:r>
          </w:p>
        </w:tc>
      </w:tr>
    </w:tbl>
    <w:tbl>
      <w:tblPr>
        <w:tblStyle w:val="TableGrid"/>
        <w:tblpPr w:leftFromText="180" w:rightFromText="180" w:vertAnchor="text" w:horzAnchor="margin" w:tblpY="271"/>
        <w:tblW w:w="0" w:type="auto"/>
        <w:tblLook w:val="04A0" w:firstRow="1" w:lastRow="0" w:firstColumn="1" w:lastColumn="0" w:noHBand="0" w:noVBand="1"/>
      </w:tblPr>
      <w:tblGrid>
        <w:gridCol w:w="3539"/>
        <w:gridCol w:w="5670"/>
        <w:gridCol w:w="6179"/>
      </w:tblGrid>
      <w:tr w:rsidR="00610A77" w:rsidTr="00610A77">
        <w:tc>
          <w:tcPr>
            <w:tcW w:w="3539" w:type="dxa"/>
          </w:tcPr>
          <w:p w:rsidR="00610A77" w:rsidRPr="00610A77" w:rsidRDefault="00610A77" w:rsidP="00610A77">
            <w:pPr>
              <w:rPr>
                <w:b/>
              </w:rPr>
            </w:pPr>
            <w:r w:rsidRPr="00610A77">
              <w:rPr>
                <w:b/>
              </w:rPr>
              <w:t>Technology</w:t>
            </w:r>
          </w:p>
        </w:tc>
        <w:tc>
          <w:tcPr>
            <w:tcW w:w="5670" w:type="dxa"/>
          </w:tcPr>
          <w:p w:rsidR="00610A77" w:rsidRPr="00610A77" w:rsidRDefault="00610A77" w:rsidP="00610A77">
            <w:pPr>
              <w:rPr>
                <w:b/>
              </w:rPr>
            </w:pPr>
            <w:r w:rsidRPr="00610A77">
              <w:rPr>
                <w:b/>
              </w:rPr>
              <w:t xml:space="preserve">Legislation </w:t>
            </w:r>
          </w:p>
        </w:tc>
        <w:tc>
          <w:tcPr>
            <w:tcW w:w="6179" w:type="dxa"/>
          </w:tcPr>
          <w:p w:rsidR="00610A77" w:rsidRPr="00610A77" w:rsidRDefault="00610A77" w:rsidP="00610A77">
            <w:pPr>
              <w:rPr>
                <w:b/>
              </w:rPr>
            </w:pPr>
            <w:r w:rsidRPr="00610A77">
              <w:rPr>
                <w:b/>
              </w:rPr>
              <w:t xml:space="preserve">Economic climate </w:t>
            </w:r>
          </w:p>
        </w:tc>
      </w:tr>
      <w:tr w:rsidR="00610A77" w:rsidTr="00610A77">
        <w:trPr>
          <w:trHeight w:val="5662"/>
        </w:trPr>
        <w:tc>
          <w:tcPr>
            <w:tcW w:w="3539" w:type="dxa"/>
          </w:tcPr>
          <w:p w:rsidR="00664AC6" w:rsidRDefault="00610A77" w:rsidP="00610A77">
            <w:r>
              <w:t xml:space="preserve">Businesses will need to adapt to keep up with advances in technology. For example, black cab drivers had to respond to Uber entering the taxi market. In order to compete, Black cab drivers now have free ultra-fast Wi-Fi, contactless card readers and zero emissions cabs. </w:t>
            </w:r>
          </w:p>
          <w:p w:rsidR="00664AC6" w:rsidRPr="00664AC6" w:rsidRDefault="00664AC6" w:rsidP="00664AC6">
            <w:r>
              <w:rPr>
                <w:noProof/>
                <w:lang w:eastAsia="en-GB"/>
              </w:rPr>
              <w:drawing>
                <wp:anchor distT="0" distB="0" distL="114300" distR="114300" simplePos="0" relativeHeight="251660288" behindDoc="1" locked="0" layoutInCell="1" allowOverlap="1">
                  <wp:simplePos x="0" y="0"/>
                  <wp:positionH relativeFrom="column">
                    <wp:posOffset>42545</wp:posOffset>
                  </wp:positionH>
                  <wp:positionV relativeFrom="paragraph">
                    <wp:posOffset>299720</wp:posOffset>
                  </wp:positionV>
                  <wp:extent cx="1898205" cy="1209675"/>
                  <wp:effectExtent l="0" t="0" r="6985" b="0"/>
                  <wp:wrapTight wrapText="bothSides">
                    <wp:wrapPolygon edited="0">
                      <wp:start x="0" y="0"/>
                      <wp:lineTo x="0" y="21090"/>
                      <wp:lineTo x="21463" y="21090"/>
                      <wp:lineTo x="21463" y="0"/>
                      <wp:lineTo x="0" y="0"/>
                    </wp:wrapPolygon>
                  </wp:wrapTight>
                  <wp:docPr id="3" name="Picture 3" descr="Image result for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echnolog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98205" cy="1209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4AC6" w:rsidRPr="00664AC6" w:rsidRDefault="00664AC6" w:rsidP="00664AC6"/>
          <w:p w:rsidR="00664AC6" w:rsidRDefault="00664AC6" w:rsidP="00664AC6"/>
          <w:p w:rsidR="00664AC6" w:rsidRDefault="00664AC6" w:rsidP="00664AC6"/>
          <w:p w:rsidR="00610A77" w:rsidRPr="00664AC6" w:rsidRDefault="00610A77" w:rsidP="00664AC6">
            <w:pPr>
              <w:ind w:firstLine="720"/>
            </w:pPr>
          </w:p>
        </w:tc>
        <w:tc>
          <w:tcPr>
            <w:tcW w:w="5670" w:type="dxa"/>
          </w:tcPr>
          <w:p w:rsidR="00610A77" w:rsidRDefault="00610A77" w:rsidP="00610A77">
            <w:r>
              <w:t xml:space="preserve">New laws can present opportunities or threats to new businesses. </w:t>
            </w:r>
          </w:p>
          <w:p w:rsidR="00610A77" w:rsidRDefault="00610A77" w:rsidP="00610A77"/>
          <w:p w:rsidR="00610A77" w:rsidRDefault="00610A77" w:rsidP="00610A77">
            <w:r>
              <w:t>Most business people tend to focus on the threats, calling the new legislation ‘red tape’. This means they may have to hire new staff to cope with the additional paper work which could be expensive for the business.</w:t>
            </w:r>
          </w:p>
          <w:p w:rsidR="00610A77" w:rsidRDefault="00610A77" w:rsidP="00610A77"/>
          <w:p w:rsidR="00610A77" w:rsidRDefault="00610A77" w:rsidP="00610A77">
            <w:r>
              <w:t xml:space="preserve">However, it can create opportunities for some.  For example, changes to the Food Safety Act in 2013 forced businesses to take further measures to protect consumers. This included keeping records about who supplied each batch of food (traceability). </w:t>
            </w:r>
          </w:p>
          <w:p w:rsidR="00610A77" w:rsidRDefault="00610A77" w:rsidP="00610A77"/>
          <w:p w:rsidR="00610A77" w:rsidRDefault="00610A77" w:rsidP="00610A77">
            <w:r>
              <w:t xml:space="preserve">Various new small businesses set up to provide simple software programs for recording food origins, and suppliers started to help restaurants and cafes by texting the source of the food. </w:t>
            </w:r>
          </w:p>
        </w:tc>
        <w:tc>
          <w:tcPr>
            <w:tcW w:w="6179" w:type="dxa"/>
          </w:tcPr>
          <w:p w:rsidR="00610A77" w:rsidRDefault="00610A77" w:rsidP="00610A77">
            <w:r>
              <w:t xml:space="preserve">The economic climate is like the weather; the economy can run hot or cold. The economic climate measures the position the economy – positive or worrying. </w:t>
            </w:r>
          </w:p>
          <w:p w:rsidR="00610A77" w:rsidRDefault="00610A77" w:rsidP="00610A77"/>
          <w:p w:rsidR="00610A77" w:rsidRDefault="00610A77" w:rsidP="00610A77">
            <w:r>
              <w:t xml:space="preserve">As the economy is constantly changing businesses need to be able to respond to economic ups and downs. </w:t>
            </w:r>
          </w:p>
          <w:p w:rsidR="00610A77" w:rsidRDefault="00610A77" w:rsidP="00610A77"/>
          <w:p w:rsidR="00610A77" w:rsidRDefault="00610A77" w:rsidP="00610A77">
            <w:r>
              <w:t xml:space="preserve">When the economy is doing well they will: </w:t>
            </w:r>
          </w:p>
          <w:p w:rsidR="00610A77" w:rsidRDefault="00610A77" w:rsidP="00610A77">
            <w:pPr>
              <w:pStyle w:val="ListParagraph"/>
              <w:numPr>
                <w:ilvl w:val="0"/>
                <w:numId w:val="1"/>
              </w:numPr>
            </w:pPr>
            <w:r>
              <w:t xml:space="preserve">Hire more staff </w:t>
            </w:r>
          </w:p>
          <w:p w:rsidR="00610A77" w:rsidRDefault="00610A77" w:rsidP="00610A77">
            <w:pPr>
              <w:pStyle w:val="ListParagraph"/>
              <w:numPr>
                <w:ilvl w:val="0"/>
                <w:numId w:val="1"/>
              </w:numPr>
            </w:pPr>
            <w:r>
              <w:t xml:space="preserve">Invest in new equipment </w:t>
            </w:r>
          </w:p>
          <w:p w:rsidR="00610A77" w:rsidRDefault="00610A77" w:rsidP="00610A77">
            <w:pPr>
              <w:pStyle w:val="ListParagraph"/>
              <w:numPr>
                <w:ilvl w:val="0"/>
                <w:numId w:val="1"/>
              </w:numPr>
            </w:pPr>
            <w:r>
              <w:t>Spend more on developing new products</w:t>
            </w:r>
          </w:p>
          <w:p w:rsidR="00610A77" w:rsidRDefault="00610A77" w:rsidP="00610A77"/>
          <w:p w:rsidR="00610A77" w:rsidRDefault="00610A77" w:rsidP="00610A77">
            <w:r>
              <w:t xml:space="preserve">In the long term bigger companies respond to the changing climate by spreading their risk. Jaguar and Land Rover used to produce only in England but that left the business vulnerable if a rising pound hit export profitability. Now they have factories in China, Brazil, Austria and Slovakia. </w:t>
            </w:r>
          </w:p>
          <w:p w:rsidR="00610A77" w:rsidRDefault="00610A77" w:rsidP="00610A77"/>
          <w:p w:rsidR="00610A77" w:rsidRDefault="00610A77" w:rsidP="00610A77"/>
          <w:p w:rsidR="00610A77" w:rsidRDefault="00610A77" w:rsidP="00610A77"/>
          <w:p w:rsidR="00610A77" w:rsidRDefault="00610A77" w:rsidP="00610A77"/>
        </w:tc>
      </w:tr>
    </w:tbl>
    <w:p w:rsidR="00BC52FC" w:rsidRDefault="00BC52FC">
      <w:r w:rsidRPr="00816F49">
        <w:rPr>
          <w:rFonts w:ascii="Calibri" w:eastAsia="Times New Roman" w:hAnsi="Calibri" w:cs="Calibri"/>
          <w:b/>
          <w:bCs/>
          <w:noProof/>
          <w:color w:val="FFFFFF" w:themeColor="light1"/>
          <w:kern w:val="24"/>
          <w:sz w:val="24"/>
          <w:szCs w:val="24"/>
          <w:lang w:eastAsia="en-GB"/>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-1334135</wp:posOffset>
                </wp:positionV>
                <wp:extent cx="5181600" cy="676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676275"/>
                        </a:xfrm>
                        <a:prstGeom prst="rect">
                          <a:avLst/>
                        </a:prstGeom>
                        <a:solidFill>
                          <a:srgbClr val="FFFFFF"/>
                        </a:solidFill>
                        <a:ln w="9525">
                          <a:solidFill>
                            <a:srgbClr val="000000"/>
                          </a:solidFill>
                          <a:miter lim="800000"/>
                          <a:headEnd/>
                          <a:tailEnd/>
                        </a:ln>
                      </wps:spPr>
                      <wps:txbx>
                        <w:txbxContent>
                          <w:p w:rsidR="00BC52FC" w:rsidRDefault="00816F49">
                            <w:r w:rsidRPr="00610A77">
                              <w:rPr>
                                <w:b/>
                                <w:u w:val="single"/>
                              </w:rPr>
                              <w:t>External influences</w:t>
                            </w:r>
                            <w:r>
                              <w:t xml:space="preserve"> occur in the </w:t>
                            </w:r>
                            <w:r w:rsidR="00C03EE4">
                              <w:t xml:space="preserve">external </w:t>
                            </w:r>
                            <w:r>
                              <w:t>environment that the business ope</w:t>
                            </w:r>
                            <w:r w:rsidR="00C03EE4">
                              <w:t xml:space="preserve">rates in. </w:t>
                            </w:r>
                            <w:r w:rsidR="006E4625">
                              <w:t xml:space="preserve"> the main influences are: technology, legislation and the economic climate. The business has no control over these influences and will need to respond effectively. </w:t>
                            </w:r>
                          </w:p>
                          <w:tbl>
                            <w:tblPr>
                              <w:tblStyle w:val="TableGrid"/>
                              <w:tblW w:w="0" w:type="auto"/>
                              <w:tblLook w:val="04A0" w:firstRow="1" w:lastRow="0" w:firstColumn="1" w:lastColumn="0" w:noHBand="0" w:noVBand="1"/>
                            </w:tblPr>
                            <w:tblGrid>
                              <w:gridCol w:w="2616"/>
                              <w:gridCol w:w="2616"/>
                              <w:gridCol w:w="2616"/>
                            </w:tblGrid>
                            <w:tr w:rsidR="00BC52FC" w:rsidTr="00BC52FC">
                              <w:tc>
                                <w:tcPr>
                                  <w:tcW w:w="2621" w:type="dxa"/>
                                </w:tcPr>
                                <w:p w:rsidR="00BC52FC" w:rsidRDefault="00BC52FC"/>
                              </w:tc>
                              <w:tc>
                                <w:tcPr>
                                  <w:tcW w:w="2621" w:type="dxa"/>
                                </w:tcPr>
                                <w:p w:rsidR="00BC52FC" w:rsidRDefault="00BC52FC"/>
                              </w:tc>
                              <w:tc>
                                <w:tcPr>
                                  <w:tcW w:w="2621" w:type="dxa"/>
                                </w:tcPr>
                                <w:p w:rsidR="00BC52FC" w:rsidRDefault="00BC52FC"/>
                              </w:tc>
                            </w:tr>
                            <w:tr w:rsidR="00BC52FC" w:rsidTr="00BC52FC">
                              <w:tc>
                                <w:tcPr>
                                  <w:tcW w:w="2621" w:type="dxa"/>
                                </w:tcPr>
                                <w:p w:rsidR="00BC52FC" w:rsidRDefault="00BC52FC"/>
                              </w:tc>
                              <w:tc>
                                <w:tcPr>
                                  <w:tcW w:w="2621" w:type="dxa"/>
                                </w:tcPr>
                                <w:p w:rsidR="00BC52FC" w:rsidRDefault="00BC52FC"/>
                              </w:tc>
                              <w:tc>
                                <w:tcPr>
                                  <w:tcW w:w="2621" w:type="dxa"/>
                                </w:tcPr>
                                <w:p w:rsidR="00BC52FC" w:rsidRDefault="00BC52FC"/>
                              </w:tc>
                            </w:tr>
                          </w:tbl>
                          <w:p w:rsidR="00816F49" w:rsidRDefault="00816F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56.8pt;margin-top:-105.05pt;width:408pt;height:53.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">
                <v:textbox>
                  <w:txbxContent>
                    <w:p w:rsidR="00BC52FC" w:rsidRDefault="00816F49">
                      <w:r w:rsidRPr="00610A77">
                        <w:rPr>
                          <w:b/>
                          <w:u w:val="single"/>
                        </w:rPr>
                        <w:t>External influences</w:t>
                      </w:r>
                      <w:r>
                        <w:t xml:space="preserve"> occur in the </w:t>
                      </w:r>
                      <w:r w:rsidR="00C03EE4">
                        <w:t xml:space="preserve">external </w:t>
                      </w:r>
                      <w:r>
                        <w:t>environment that the business ope</w:t>
                      </w:r>
                      <w:r w:rsidR="00C03EE4">
                        <w:t xml:space="preserve">rates in. </w:t>
                      </w:r>
                      <w:r w:rsidR="006E4625">
                        <w:t xml:space="preserve"> the main influences are: technology, legislation and the economic climate. The business has no control over these influences and will need to respond effectively. </w:t>
                      </w:r>
                    </w:p>
                    <w:tbl>
                      <w:tblPr>
                        <w:tblStyle w:val="TableGrid"/>
                        <w:tblW w:w="0" w:type="auto"/>
                        <w:tblLook w:val="04A0" w:firstRow="1" w:lastRow="0" w:firstColumn="1" w:lastColumn="0" w:noHBand="0" w:noVBand="1"/>
                      </w:tblPr>
                      <w:tblGrid>
                        <w:gridCol w:w="2616"/>
                        <w:gridCol w:w="2616"/>
                        <w:gridCol w:w="2616"/>
                      </w:tblGrid>
                      <w:tr w:rsidR="00BC52FC" w:rsidTr="00BC52FC">
                        <w:tc>
                          <w:tcPr>
                            <w:tcW w:w="2621" w:type="dxa"/>
                          </w:tcPr>
                          <w:p w:rsidR="00BC52FC" w:rsidRDefault="00BC52FC"/>
                        </w:tc>
                        <w:tc>
                          <w:tcPr>
                            <w:tcW w:w="2621" w:type="dxa"/>
                          </w:tcPr>
                          <w:p w:rsidR="00BC52FC" w:rsidRDefault="00BC52FC"/>
                        </w:tc>
                        <w:tc>
                          <w:tcPr>
                            <w:tcW w:w="2621" w:type="dxa"/>
                          </w:tcPr>
                          <w:p w:rsidR="00BC52FC" w:rsidRDefault="00BC52FC"/>
                        </w:tc>
                      </w:tr>
                      <w:tr w:rsidR="00BC52FC" w:rsidTr="00BC52FC">
                        <w:tc>
                          <w:tcPr>
                            <w:tcW w:w="2621" w:type="dxa"/>
                          </w:tcPr>
                          <w:p w:rsidR="00BC52FC" w:rsidRDefault="00BC52FC"/>
                        </w:tc>
                        <w:tc>
                          <w:tcPr>
                            <w:tcW w:w="2621" w:type="dxa"/>
                          </w:tcPr>
                          <w:p w:rsidR="00BC52FC" w:rsidRDefault="00BC52FC"/>
                        </w:tc>
                        <w:tc>
                          <w:tcPr>
                            <w:tcW w:w="2621" w:type="dxa"/>
                          </w:tcPr>
                          <w:p w:rsidR="00BC52FC" w:rsidRDefault="00BC52FC"/>
                        </w:tc>
                      </w:tr>
                    </w:tbl>
                    <w:p w:rsidR="00816F49" w:rsidRDefault="00816F49"/>
                  </w:txbxContent>
                </v:textbox>
                <w10:wrap type="square" anchorx="margin"/>
              </v:shape>
            </w:pict>
          </mc:Fallback>
        </mc:AlternateContent>
      </w:r>
    </w:p>
    <w:p w:rsidR="00BC52FC" w:rsidRDefault="00BC52FC"/>
    <w:p w:rsidR="00664AC6" w:rsidRDefault="00664AC6" w:rsidP="00BC52FC">
      <w:pPr>
        <w:ind w:firstLine="720"/>
      </w:pPr>
    </w:p>
    <w:p w:rsidR="006463D3" w:rsidRDefault="00664AC6" w:rsidP="00664AC6">
      <w:pPr>
        <w:tabs>
          <w:tab w:val="left" w:pos="3975"/>
        </w:tabs>
      </w:pPr>
      <w:r>
        <w:tab/>
      </w:r>
    </w:p>
    <w:p w:rsidR="00664AC6" w:rsidRDefault="00664AC6" w:rsidP="00664AC6">
      <w:pPr>
        <w:tabs>
          <w:tab w:val="left" w:pos="3975"/>
        </w:tabs>
      </w:pPr>
    </w:p>
    <w:p w:rsidR="00664AC6" w:rsidRDefault="00664AC6" w:rsidP="00664AC6">
      <w:pPr>
        <w:tabs>
          <w:tab w:val="left" w:pos="3975"/>
        </w:tabs>
      </w:pPr>
    </w:p>
    <w:p w:rsidR="00664AC6" w:rsidRPr="00664AC6" w:rsidRDefault="00664AC6" w:rsidP="00664AC6">
      <w:pPr>
        <w:tabs>
          <w:tab w:val="left" w:pos="3975"/>
        </w:tabs>
      </w:pPr>
    </w:p>
    <w:sectPr w:rsidR="00664AC6" w:rsidRPr="00664AC6" w:rsidSect="001711D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496920"/>
    <w:multiLevelType w:val="hybridMultilevel"/>
    <w:tmpl w:val="6FA4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1D2"/>
    <w:rsid w:val="0011609E"/>
    <w:rsid w:val="001711D2"/>
    <w:rsid w:val="00452349"/>
    <w:rsid w:val="00605E3A"/>
    <w:rsid w:val="00610A77"/>
    <w:rsid w:val="006463D3"/>
    <w:rsid w:val="00664AC6"/>
    <w:rsid w:val="006E4625"/>
    <w:rsid w:val="00816F49"/>
    <w:rsid w:val="009573AC"/>
    <w:rsid w:val="00B975C5"/>
    <w:rsid w:val="00BC52FC"/>
    <w:rsid w:val="00C03EE4"/>
    <w:rsid w:val="00C71945"/>
    <w:rsid w:val="00D50B43"/>
    <w:rsid w:val="00E10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829E3D-1AC3-4014-83CD-F180216B6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11D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C5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A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87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69324C7A</Template>
  <TotalTime>0</TotalTime>
  <Pages>2</Pages>
  <Words>292</Words>
  <Characters>1668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Stafford</dc:creator>
  <cp:keywords/>
  <dc:description/>
  <cp:lastModifiedBy>Wahid, Sufiur</cp:lastModifiedBy>
  <cp:revision>2</cp:revision>
  <dcterms:created xsi:type="dcterms:W3CDTF">2018-11-06T16:18:00Z</dcterms:created>
  <dcterms:modified xsi:type="dcterms:W3CDTF">2018-11-06T16:18:00Z</dcterms:modified>
</cp:coreProperties>
</file>